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e3333e4a89e0ea16c2b10ca500d8a9f88a47fc9"/>
    <w:p>
      <w:pPr>
        <w:pStyle w:val="Heading1"/>
      </w:pPr>
      <w:r>
        <w:t xml:space="preserve">Abracadabracadoo Protocol Addendum V: Witness-Readable Content with Controlled Verifiability</w:t>
      </w:r>
    </w:p>
    <w:p>
      <w:pPr>
        <w:pStyle w:val="FirstParagraph"/>
      </w:pPr>
      <w:r>
        <w:rPr>
          <w:b/>
          <w:bCs/>
        </w:rPr>
        <w:t xml:space="preserve">Status:</w:t>
      </w:r>
      <w:r>
        <w:t xml:space="preserve"> </w:t>
      </w:r>
      <w:r>
        <w:t xml:space="preserve">Draft Proposal for Review</w:t>
      </w:r>
      <w:r>
        <w:br/>
      </w:r>
      <w:r>
        <w:rPr>
          <w:b/>
          <w:bCs/>
        </w:rPr>
        <w:t xml:space="preserve">Filed under:</w:t>
      </w:r>
      <w:r>
        <w:t xml:space="preserve"> </w:t>
      </w:r>
      <w:r>
        <w:t xml:space="preserve">Witness-Layer Extensions and Verifiable Disclosure</w:t>
      </w:r>
    </w:p>
    <w:p>
      <w:r>
        <w:pict>
          <v:rect style="width:0;height:1.5pt" o:hralign="center" o:hrstd="t" o:hr="t"/>
        </w:pict>
      </w:r>
    </w:p>
    <w:bookmarkStart w:id="20" w:name="abstract"/>
    <w:p>
      <w:pPr>
        <w:pStyle w:val="Heading2"/>
      </w:pPr>
      <w:r>
        <w:rPr>
          <w:b/>
          <w:bCs/>
        </w:rPr>
        <w:t xml:space="preserve">Abstract</w:t>
      </w:r>
    </w:p>
    <w:p>
      <w:pPr>
        <w:pStyle w:val="FirstParagraph"/>
      </w:pPr>
      <w:r>
        <w:t xml:space="preserve">This addendum extends the Abracadabracadoo Protocol to support</w:t>
      </w:r>
      <w:r>
        <w:t xml:space="preserve"> </w:t>
      </w:r>
      <w:r>
        <w:rPr>
          <w:b/>
          <w:bCs/>
        </w:rPr>
        <w:t xml:space="preserve">witness-readable plaintext content</w:t>
      </w:r>
      <w:r>
        <w:t xml:space="preserve"> </w:t>
      </w:r>
      <w:r>
        <w:t xml:space="preserve">that can be recorded and attested by a witness or server, while maintaining</w:t>
      </w:r>
      <w:r>
        <w:t xml:space="preserve"> </w:t>
      </w:r>
      <w:r>
        <w:rPr>
          <w:b/>
          <w:bCs/>
        </w:rPr>
        <w:t xml:space="preserve">controlled verifiability</w:t>
      </w:r>
      <w:r>
        <w:t xml:space="preserve"> </w:t>
      </w:r>
      <w:r>
        <w:t xml:space="preserve">dependent on a participant-controlled signature block. This allows a witness to view and confirm plaintext while ensuring that if the content is leaked, it remains</w:t>
      </w:r>
      <w:r>
        <w:t xml:space="preserve"> </w:t>
      </w:r>
      <w:r>
        <w:rPr>
          <w:b/>
          <w:bCs/>
        </w:rPr>
        <w:t xml:space="preserve">unverifiable without the explicit release of the signature block</w:t>
      </w:r>
      <w:r>
        <w:t xml:space="preserve"> </w:t>
      </w:r>
      <w:r>
        <w:t xml:space="preserve">by the sender (or both parties).</w:t>
      </w:r>
    </w:p>
    <w:p>
      <w:pPr>
        <w:pStyle w:val="BodyText"/>
      </w:pPr>
      <w:r>
        <w:t xml:space="preserve">This enables systems where:</w:t>
      </w:r>
    </w:p>
    <w:p>
      <w:pPr>
        <w:pStyle w:val="Compact"/>
        <w:numPr>
          <w:ilvl w:val="0"/>
          <w:numId w:val="1001"/>
        </w:numPr>
      </w:pPr>
      <w:r>
        <w:t xml:space="preserve">Content may need to be seen by a witness for logging, mediation, or legal presence.</w:t>
      </w:r>
    </w:p>
    <w:p>
      <w:pPr>
        <w:pStyle w:val="Compact"/>
        <w:numPr>
          <w:ilvl w:val="0"/>
          <w:numId w:val="1001"/>
        </w:numPr>
      </w:pPr>
      <w:r>
        <w:t xml:space="preserve">The sender retains control over the final verifiability of the content.</w:t>
      </w:r>
    </w:p>
    <w:p>
      <w:pPr>
        <w:pStyle w:val="Compact"/>
        <w:numPr>
          <w:ilvl w:val="0"/>
          <w:numId w:val="1001"/>
        </w:numPr>
      </w:pPr>
      <w:r>
        <w:t xml:space="preserve">Deniability is preserved unless the sender consents to validation.</w:t>
      </w:r>
    </w:p>
    <w:p>
      <w:r>
        <w:pict>
          <v:rect style="width:0;height:1.5pt" o:hralign="center" o:hrstd="t" o:hr="t"/>
        </w:pict>
      </w:r>
    </w:p>
    <w:bookmarkEnd w:id="20"/>
    <w:bookmarkStart w:id="21" w:name="context-and-rationale"/>
    <w:p>
      <w:pPr>
        <w:pStyle w:val="Heading2"/>
      </w:pPr>
      <w:r>
        <w:rPr>
          <w:b/>
          <w:bCs/>
        </w:rPr>
        <w:t xml:space="preserve">1. Context and Rationale</w:t>
      </w:r>
    </w:p>
    <w:p>
      <w:pPr>
        <w:pStyle w:val="FirstParagraph"/>
      </w:pPr>
      <w:r>
        <w:t xml:space="preserve">Abracadabracadoo’s architecture prioritizes privacy, auditability, and semantic integrity. However, there are situations where</w:t>
      </w:r>
      <w:r>
        <w:t xml:space="preserve"> </w:t>
      </w:r>
      <w:r>
        <w:rPr>
          <w:b/>
          <w:bCs/>
        </w:rPr>
        <w:t xml:space="preserve">plaintext exposure to a trusted witness</w:t>
      </w:r>
      <w:r>
        <w:t xml:space="preserve"> </w:t>
      </w:r>
      <w:r>
        <w:t xml:space="preserve">is necessary (e.g., legal agreements, dispute mediation, escrow scenarios).</w:t>
      </w:r>
    </w:p>
    <w:p>
      <w:pPr>
        <w:pStyle w:val="BodyText"/>
      </w:pPr>
      <w:r>
        <w:t xml:space="preserve">The challenge:</w:t>
      </w:r>
    </w:p>
    <w:p>
      <w:pPr>
        <w:pStyle w:val="Compact"/>
        <w:numPr>
          <w:ilvl w:val="0"/>
          <w:numId w:val="1002"/>
        </w:numPr>
      </w:pPr>
      <w:r>
        <w:t xml:space="preserve">Allow the witness to see the plaintext.</w:t>
      </w:r>
    </w:p>
    <w:p>
      <w:pPr>
        <w:pStyle w:val="Compact"/>
        <w:numPr>
          <w:ilvl w:val="0"/>
          <w:numId w:val="1002"/>
        </w:numPr>
      </w:pPr>
      <w:r>
        <w:t xml:space="preserve">Ensure that the witness can attest to having seen it.</w:t>
      </w:r>
    </w:p>
    <w:p>
      <w:pPr>
        <w:pStyle w:val="Compact"/>
        <w:numPr>
          <w:ilvl w:val="0"/>
          <w:numId w:val="1002"/>
        </w:numPr>
      </w:pPr>
      <w:r>
        <w:t xml:space="preserve">Prevent the witness from proving the plaintext’s validity to others unless the sender (or both parties) releases a validating signature block.</w:t>
      </w:r>
    </w:p>
    <w:p>
      <w:r>
        <w:pict>
          <v:rect style="width:0;height:1.5pt" o:hralign="center" o:hrstd="t" o:hr="t"/>
        </w:pict>
      </w:r>
    </w:p>
    <w:bookmarkEnd w:id="21"/>
    <w:bookmarkStart w:id="22" w:name="signature-block-schema"/>
    <w:p>
      <w:pPr>
        <w:pStyle w:val="Heading2"/>
      </w:pPr>
      <w:r>
        <w:rPr>
          <w:b/>
          <w:bCs/>
        </w:rPr>
        <w:t xml:space="preserve">2. Signature Block Schema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signature block</w:t>
      </w:r>
      <w:r>
        <w:t xml:space="preserve"> </w:t>
      </w:r>
      <w:r>
        <w:t xml:space="preserve">(</w:t>
      </w:r>
      <w:r>
        <w:rPr>
          <w:rStyle w:val="VerbatimChar"/>
        </w:rPr>
        <w:t xml:space="preserve">sig_block</w:t>
      </w:r>
      <w:r>
        <w:t xml:space="preserve">) is defined as: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"signature_block"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"sender_sig"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ErrorTok"/>
        </w:rPr>
        <w:t xml:space="preserve">sig_A(M</w:t>
      </w:r>
      <w:r>
        <w:rPr>
          <w:rStyle w:val="NormalTok"/>
        </w:rPr>
        <w:t xml:space="preserve"> </w:t>
      </w:r>
      <w:r>
        <w:rPr>
          <w:rStyle w:val="ErrorTok"/>
        </w:rPr>
        <w:t xml:space="preserve">||</w:t>
      </w:r>
      <w:r>
        <w:rPr>
          <w:rStyle w:val="NormalTok"/>
        </w:rPr>
        <w:t xml:space="preserve"> </w:t>
      </w:r>
      <w:r>
        <w:rPr>
          <w:rStyle w:val="ErrorTok"/>
        </w:rPr>
        <w:t xml:space="preserve">nonce)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"optional_recipient_sig"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ErrorTok"/>
        </w:rPr>
        <w:t xml:space="preserve">sig_B(M</w:t>
      </w:r>
      <w:r>
        <w:rPr>
          <w:rStyle w:val="NormalTok"/>
        </w:rPr>
        <w:t xml:space="preserve"> </w:t>
      </w:r>
      <w:r>
        <w:rPr>
          <w:rStyle w:val="ErrorTok"/>
        </w:rPr>
        <w:t xml:space="preserve">||</w:t>
      </w:r>
      <w:r>
        <w:rPr>
          <w:rStyle w:val="NormalTok"/>
        </w:rPr>
        <w:t xml:space="preserve"> </w:t>
      </w:r>
      <w:r>
        <w:rPr>
          <w:rStyle w:val="ErrorTok"/>
        </w:rPr>
        <w:t xml:space="preserve">nonce)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"nonce"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ErrorTok"/>
        </w:rPr>
        <w:t xml:space="preserve">&lt;unique_nonce&gt;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M</w:t>
      </w:r>
      <w:r>
        <w:t xml:space="preserve"> </w:t>
      </w:r>
      <w:r>
        <w:t xml:space="preserve">= Plaintext message.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nonce</w:t>
      </w:r>
      <w:r>
        <w:t xml:space="preserve"> </w:t>
      </w:r>
      <w:r>
        <w:t xml:space="preserve">= Random or agreed ephemeral nonce, ensuring uniqueness.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sig_A</w:t>
      </w:r>
      <w:r>
        <w:t xml:space="preserve"> </w:t>
      </w:r>
      <w:r>
        <w:t xml:space="preserve">= Sender’s digital signature.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sig_B</w:t>
      </w:r>
      <w:r>
        <w:t xml:space="preserve"> </w:t>
      </w:r>
      <w:r>
        <w:t xml:space="preserve">= (Optional) Recipient’s digital signature.</w:t>
      </w:r>
    </w:p>
    <w:p>
      <w:pPr>
        <w:pStyle w:val="FirstParagraph"/>
      </w:pPr>
      <w:r>
        <w:t xml:space="preserve">The ``** must be included in the signed data** and retained by the sender for validation.</w:t>
      </w:r>
    </w:p>
    <w:p>
      <w:r>
        <w:pict>
          <v:rect style="width:0;height:1.5pt" o:hralign="center" o:hrstd="t" o:hr="t"/>
        </w:pict>
      </w:r>
    </w:p>
    <w:bookmarkEnd w:id="22"/>
    <w:bookmarkStart w:id="23" w:name="protocol-behavior"/>
    <w:p>
      <w:pPr>
        <w:pStyle w:val="Heading2"/>
      </w:pPr>
      <w:r>
        <w:rPr>
          <w:b/>
          <w:bCs/>
        </w:rPr>
        <w:t xml:space="preserve">3. Protocol Behavior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Sender Preparation:</w:t>
      </w:r>
    </w:p>
    <w:p>
      <w:pPr>
        <w:pStyle w:val="Compact"/>
        <w:numPr>
          <w:ilvl w:val="1"/>
          <w:numId w:val="1005"/>
        </w:numPr>
      </w:pPr>
      <w:r>
        <w:t xml:space="preserve">Constructs plaintext message</w:t>
      </w:r>
      <w:r>
        <w:t xml:space="preserve"> </w:t>
      </w:r>
      <w:r>
        <w:rPr>
          <w:rStyle w:val="VerbatimChar"/>
        </w:rPr>
        <w:t xml:space="preserve">M</w:t>
      </w:r>
      <w:r>
        <w:t xml:space="preserve">.</w:t>
      </w:r>
    </w:p>
    <w:p>
      <w:pPr>
        <w:pStyle w:val="Compact"/>
        <w:numPr>
          <w:ilvl w:val="1"/>
          <w:numId w:val="1005"/>
        </w:numPr>
      </w:pPr>
      <w:r>
        <w:t xml:space="preserve">Generates</w:t>
      </w:r>
      <w:r>
        <w:t xml:space="preserve"> </w:t>
      </w:r>
      <w:r>
        <w:rPr>
          <w:rStyle w:val="VerbatimChar"/>
        </w:rPr>
        <w:t xml:space="preserve">nonce</w:t>
      </w:r>
      <w:r>
        <w:t xml:space="preserve">.</w:t>
      </w:r>
    </w:p>
    <w:p>
      <w:pPr>
        <w:pStyle w:val="Compact"/>
        <w:numPr>
          <w:ilvl w:val="1"/>
          <w:numId w:val="1005"/>
        </w:numPr>
      </w:pPr>
      <w:r>
        <w:t xml:space="preserve">Signs</w:t>
      </w:r>
      <w:r>
        <w:t xml:space="preserve"> </w:t>
      </w:r>
      <w:r>
        <w:rPr>
          <w:rStyle w:val="VerbatimChar"/>
        </w:rPr>
        <w:t xml:space="preserve">M || nonce</w:t>
      </w:r>
      <w:r>
        <w:t xml:space="preserve"> </w:t>
      </w:r>
      <w:r>
        <w:t xml:space="preserve">to create</w:t>
      </w:r>
      <w:r>
        <w:t xml:space="preserve"> </w:t>
      </w:r>
      <w:r>
        <w:rPr>
          <w:rStyle w:val="VerbatimChar"/>
        </w:rPr>
        <w:t xml:space="preserve">sig_A</w:t>
      </w:r>
      <w:r>
        <w:t xml:space="preserve">.</w:t>
      </w:r>
    </w:p>
    <w:p>
      <w:pPr>
        <w:pStyle w:val="Compact"/>
        <w:numPr>
          <w:ilvl w:val="1"/>
          <w:numId w:val="1005"/>
        </w:numPr>
      </w:pPr>
      <w:r>
        <w:t xml:space="preserve">Optionally obtains</w:t>
      </w:r>
      <w:r>
        <w:t xml:space="preserve"> </w:t>
      </w:r>
      <w:r>
        <w:rPr>
          <w:rStyle w:val="VerbatimChar"/>
        </w:rPr>
        <w:t xml:space="preserve">sig_B</w:t>
      </w:r>
      <w:r>
        <w:t xml:space="preserve"> </w:t>
      </w:r>
      <w:r>
        <w:t xml:space="preserve">from the recipient.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Witness Interaction:</w:t>
      </w:r>
    </w:p>
    <w:p>
      <w:pPr>
        <w:pStyle w:val="Compact"/>
        <w:numPr>
          <w:ilvl w:val="1"/>
          <w:numId w:val="1006"/>
        </w:numPr>
      </w:pPr>
      <w:r>
        <w:t xml:space="preserve">Witness receives:</w:t>
      </w:r>
    </w:p>
    <w:p>
      <w:pPr>
        <w:pStyle w:val="Compact"/>
        <w:numPr>
          <w:ilvl w:val="2"/>
          <w:numId w:val="1007"/>
        </w:numPr>
      </w:pPr>
      <w:r>
        <w:t xml:space="preserve">Plaintext</w:t>
      </w:r>
      <w:r>
        <w:t xml:space="preserve"> </w:t>
      </w:r>
      <w:r>
        <w:rPr>
          <w:rStyle w:val="VerbatimChar"/>
        </w:rPr>
        <w:t xml:space="preserve">M</w:t>
      </w:r>
      <w:r>
        <w:t xml:space="preserve">.</w:t>
      </w:r>
    </w:p>
    <w:p>
      <w:pPr>
        <w:pStyle w:val="Compact"/>
        <w:numPr>
          <w:ilvl w:val="2"/>
          <w:numId w:val="1007"/>
        </w:numPr>
      </w:pPr>
      <w:r>
        <w:t xml:space="preserve">Envelope hash referencing this instance.</w:t>
      </w:r>
    </w:p>
    <w:p>
      <w:pPr>
        <w:pStyle w:val="Compact"/>
        <w:numPr>
          <w:ilvl w:val="1"/>
          <w:numId w:val="1006"/>
        </w:numPr>
      </w:pPr>
      <w:r>
        <w:t xml:space="preserve">Witness may record and confirm</w:t>
      </w:r>
      <w:r>
        <w:t xml:space="preserve"> </w:t>
      </w:r>
      <w:r>
        <w:rPr>
          <w:rStyle w:val="VerbatimChar"/>
        </w:rPr>
        <w:t xml:space="preserve">M</w:t>
      </w:r>
      <w:r>
        <w:t xml:space="preserve">.</w:t>
      </w:r>
    </w:p>
    <w:p>
      <w:pPr>
        <w:pStyle w:val="Compact"/>
        <w:numPr>
          <w:ilvl w:val="1"/>
          <w:numId w:val="1006"/>
        </w:numPr>
      </w:pPr>
      <w:r>
        <w:t xml:space="preserve">Witness</w:t>
      </w:r>
      <w:r>
        <w:t xml:space="preserve"> </w:t>
      </w:r>
      <w:r>
        <w:rPr>
          <w:b/>
          <w:bCs/>
        </w:rPr>
        <w:t xml:space="preserve">does not receive</w:t>
      </w:r>
      <w:r>
        <w:rPr>
          <w:b/>
          <w:bCs/>
        </w:rPr>
        <w:t xml:space="preserve"> </w:t>
      </w:r>
      <w:r>
        <w:t xml:space="preserve">``** at this stage**.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Validation Stage:</w:t>
      </w:r>
    </w:p>
    <w:p>
      <w:pPr>
        <w:pStyle w:val="Compact"/>
        <w:numPr>
          <w:ilvl w:val="1"/>
          <w:numId w:val="1008"/>
        </w:numPr>
      </w:pPr>
      <w:r>
        <w:t xml:space="preserve">If the sender (or recipient) later</w:t>
      </w:r>
      <w:r>
        <w:t xml:space="preserve"> </w:t>
      </w:r>
      <w:r>
        <w:rPr>
          <w:b/>
          <w:bCs/>
        </w:rPr>
        <w:t xml:space="preserve">wishes to validate the record publicly</w:t>
      </w:r>
      <w:r>
        <w:t xml:space="preserve">, the</w:t>
      </w:r>
      <w:r>
        <w:t xml:space="preserve"> </w:t>
      </w:r>
      <w:r>
        <w:rPr>
          <w:rStyle w:val="VerbatimChar"/>
        </w:rPr>
        <w:t xml:space="preserve">sig_block</w:t>
      </w:r>
      <w:r>
        <w:t xml:space="preserve"> </w:t>
      </w:r>
      <w:r>
        <w:t xml:space="preserve">is disclosed.</w:t>
      </w:r>
    </w:p>
    <w:p>
      <w:pPr>
        <w:pStyle w:val="Compact"/>
        <w:numPr>
          <w:ilvl w:val="1"/>
          <w:numId w:val="1008"/>
        </w:numPr>
      </w:pPr>
      <w:r>
        <w:t xml:space="preserve">Verifiers can then:</w:t>
      </w:r>
    </w:p>
    <w:p>
      <w:pPr>
        <w:pStyle w:val="Compact"/>
        <w:numPr>
          <w:ilvl w:val="2"/>
          <w:numId w:val="1009"/>
        </w:numPr>
      </w:pPr>
      <w:r>
        <w:t xml:space="preserve">Check that the</w:t>
      </w:r>
      <w:r>
        <w:t xml:space="preserve"> </w:t>
      </w:r>
      <w:r>
        <w:rPr>
          <w:rStyle w:val="VerbatimChar"/>
        </w:rPr>
        <w:t xml:space="preserve">sig_A</w:t>
      </w:r>
      <w:r>
        <w:t xml:space="preserve"> </w:t>
      </w:r>
      <w:r>
        <w:t xml:space="preserve">matches</w:t>
      </w:r>
      <w:r>
        <w:t xml:space="preserve"> </w:t>
      </w:r>
      <w:r>
        <w:rPr>
          <w:rStyle w:val="VerbatimChar"/>
        </w:rPr>
        <w:t xml:space="preserve">M || nonce</w:t>
      </w:r>
      <w:r>
        <w:t xml:space="preserve">.</w:t>
      </w:r>
    </w:p>
    <w:p>
      <w:pPr>
        <w:pStyle w:val="Compact"/>
        <w:numPr>
          <w:ilvl w:val="2"/>
          <w:numId w:val="1009"/>
        </w:numPr>
      </w:pPr>
      <w:r>
        <w:t xml:space="preserve">Confirm sender endorsement.</w:t>
      </w:r>
    </w:p>
    <w:p>
      <w:pPr>
        <w:pStyle w:val="Compact"/>
        <w:numPr>
          <w:ilvl w:val="2"/>
          <w:numId w:val="1009"/>
        </w:numPr>
      </w:pPr>
      <w:r>
        <w:t xml:space="preserve">If</w:t>
      </w:r>
      <w:r>
        <w:t xml:space="preserve"> </w:t>
      </w:r>
      <w:r>
        <w:rPr>
          <w:rStyle w:val="VerbatimChar"/>
        </w:rPr>
        <w:t xml:space="preserve">sig_B</w:t>
      </w:r>
      <w:r>
        <w:t xml:space="preserve"> </w:t>
      </w:r>
      <w:r>
        <w:t xml:space="preserve">is included, confirm recipient co-signing.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Leak Scenario:</w:t>
      </w:r>
    </w:p>
    <w:p>
      <w:pPr>
        <w:pStyle w:val="Compact"/>
        <w:numPr>
          <w:ilvl w:val="1"/>
          <w:numId w:val="1010"/>
        </w:numPr>
      </w:pPr>
      <w:r>
        <w:t xml:space="preserve">If the witness leaks</w:t>
      </w:r>
      <w:r>
        <w:t xml:space="preserve"> </w:t>
      </w:r>
      <w:r>
        <w:rPr>
          <w:rStyle w:val="VerbatimChar"/>
        </w:rPr>
        <w:t xml:space="preserve">M</w:t>
      </w:r>
      <w:r>
        <w:t xml:space="preserve"> </w:t>
      </w:r>
      <w:r>
        <w:t xml:space="preserve">without the</w:t>
      </w:r>
      <w:r>
        <w:t xml:space="preserve"> </w:t>
      </w:r>
      <w:r>
        <w:rPr>
          <w:rStyle w:val="VerbatimChar"/>
        </w:rPr>
        <w:t xml:space="preserve">sig_block</w:t>
      </w:r>
      <w:r>
        <w:t xml:space="preserve">, the content</w:t>
      </w:r>
      <w:r>
        <w:t xml:space="preserve"> </w:t>
      </w:r>
      <w:r>
        <w:rPr>
          <w:b/>
          <w:bCs/>
        </w:rPr>
        <w:t xml:space="preserve">cannot be externally verified</w:t>
      </w:r>
      <w:r>
        <w:t xml:space="preserve"> </w:t>
      </w:r>
      <w:r>
        <w:t xml:space="preserve">as authentic.</w:t>
      </w:r>
    </w:p>
    <w:p>
      <w:pPr>
        <w:pStyle w:val="Compact"/>
        <w:numPr>
          <w:ilvl w:val="1"/>
          <w:numId w:val="1010"/>
        </w:numPr>
      </w:pPr>
      <w:r>
        <w:t xml:space="preserve">This preserves</w:t>
      </w:r>
      <w:r>
        <w:t xml:space="preserve"> </w:t>
      </w:r>
      <w:r>
        <w:rPr>
          <w:b/>
          <w:bCs/>
        </w:rPr>
        <w:t xml:space="preserve">deniability</w:t>
      </w:r>
      <w:r>
        <w:t xml:space="preserve"> </w:t>
      </w:r>
      <w:r>
        <w:t xml:space="preserve">unless participants choose to validate the record.</w:t>
      </w:r>
    </w:p>
    <w:p>
      <w:r>
        <w:pict>
          <v:rect style="width:0;height:1.5pt" o:hralign="center" o:hrstd="t" o:hr="t"/>
        </w:pict>
      </w:r>
    </w:p>
    <w:bookmarkEnd w:id="23"/>
    <w:bookmarkStart w:id="24" w:name="use-cases"/>
    <w:p>
      <w:pPr>
        <w:pStyle w:val="Heading2"/>
      </w:pPr>
      <w:r>
        <w:rPr>
          <w:b/>
          <w:bCs/>
        </w:rPr>
        <w:t xml:space="preserve">4. Use Cases</w:t>
      </w:r>
    </w:p>
    <w:p>
      <w:pPr>
        <w:pStyle w:val="FirstParagraph"/>
      </w:pPr>
      <w:r>
        <w:t xml:space="preserve">✅</w:t>
      </w:r>
      <w:r>
        <w:t xml:space="preserve"> </w:t>
      </w:r>
      <w:r>
        <w:rPr>
          <w:b/>
          <w:bCs/>
        </w:rPr>
        <w:t xml:space="preserve">Mediated Consent Agreements</w:t>
      </w:r>
      <w:r>
        <w:t xml:space="preserve">: Witness can confirm having seen a signed agreement while the participants retain control over validation.</w:t>
      </w:r>
      <w:r>
        <w:br/>
      </w:r>
      <w:r>
        <w:t xml:space="preserve">✅</w:t>
      </w:r>
      <w:r>
        <w:t xml:space="preserve"> </w:t>
      </w:r>
      <w:r>
        <w:rPr>
          <w:b/>
          <w:bCs/>
        </w:rPr>
        <w:t xml:space="preserve">Dispute Resolution</w:t>
      </w:r>
      <w:r>
        <w:t xml:space="preserve">: Plaintext visibility for arbitrators, with optional public proof upon resolution.</w:t>
      </w:r>
      <w:r>
        <w:br/>
      </w:r>
      <w:r>
        <w:t xml:space="preserve">✅</w:t>
      </w:r>
      <w:r>
        <w:t xml:space="preserve"> </w:t>
      </w:r>
      <w:r>
        <w:rPr>
          <w:b/>
          <w:bCs/>
        </w:rPr>
        <w:t xml:space="preserve">Conditional Disclosure</w:t>
      </w:r>
      <w:r>
        <w:t xml:space="preserve">: Participants can prove the content’s authenticity only if conditions are met.</w:t>
      </w:r>
      <w:r>
        <w:br/>
      </w:r>
      <w:r>
        <w:t xml:space="preserve">✅</w:t>
      </w:r>
      <w:r>
        <w:t xml:space="preserve"> </w:t>
      </w:r>
      <w:r>
        <w:rPr>
          <w:b/>
          <w:bCs/>
        </w:rPr>
        <w:t xml:space="preserve">Semantic Legal Archiving</w:t>
      </w:r>
      <w:r>
        <w:t xml:space="preserve">: Witness-readable documents with optional proof trails that remain participant-controlled.</w:t>
      </w:r>
    </w:p>
    <w:p>
      <w:r>
        <w:pict>
          <v:rect style="width:0;height:1.5pt" o:hralign="center" o:hrstd="t" o:hr="t"/>
        </w:pict>
      </w:r>
    </w:p>
    <w:bookmarkEnd w:id="24"/>
    <w:bookmarkStart w:id="25" w:name="privacy-and-control-considerations"/>
    <w:p>
      <w:pPr>
        <w:pStyle w:val="Heading2"/>
      </w:pPr>
      <w:r>
        <w:rPr>
          <w:b/>
          <w:bCs/>
        </w:rPr>
        <w:t xml:space="preserve">5. Privacy and Control Considerations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Controlled Verifiability:</w:t>
      </w:r>
      <w:r>
        <w:t xml:space="preserve"> </w:t>
      </w:r>
      <w:r>
        <w:t xml:space="preserve">Verification requires the</w:t>
      </w:r>
      <w:r>
        <w:t xml:space="preserve"> </w:t>
      </w:r>
      <w:r>
        <w:rPr>
          <w:rStyle w:val="VerbatimChar"/>
        </w:rPr>
        <w:t xml:space="preserve">sig_block</w:t>
      </w:r>
      <w:r>
        <w:t xml:space="preserve">, preserving participant sovereignty.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Deniability:</w:t>
      </w:r>
      <w:r>
        <w:t xml:space="preserve"> </w:t>
      </w:r>
      <w:r>
        <w:t xml:space="preserve">Without the</w:t>
      </w:r>
      <w:r>
        <w:t xml:space="preserve"> </w:t>
      </w:r>
      <w:r>
        <w:rPr>
          <w:rStyle w:val="VerbatimChar"/>
        </w:rPr>
        <w:t xml:space="preserve">sig_block</w:t>
      </w:r>
      <w:r>
        <w:t xml:space="preserve">, leaks are unverifiable.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Explicit Consent for Disclosure:</w:t>
      </w:r>
      <w:r>
        <w:t xml:space="preserve"> </w:t>
      </w:r>
      <w:r>
        <w:t xml:space="preserve">Validation is performed only with sender/recipient agreement.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Semantic Alignment:</w:t>
      </w:r>
      <w:r>
        <w:t xml:space="preserve"> </w:t>
      </w:r>
      <w:r>
        <w:t xml:space="preserve">Extends the Declaration Layer (Addendum I) while maintaining Abracadabracadoo’s integrity principles.</w:t>
      </w:r>
    </w:p>
    <w:p>
      <w:r>
        <w:pict>
          <v:rect style="width:0;height:1.5pt" o:hralign="center" o:hrstd="t" o:hr="t"/>
        </w:pict>
      </w:r>
    </w:p>
    <w:bookmarkEnd w:id="25"/>
    <w:bookmarkStart w:id="26" w:name="conclusion"/>
    <w:p>
      <w:pPr>
        <w:pStyle w:val="Heading2"/>
      </w:pPr>
      <w:r>
        <w:rPr>
          <w:b/>
          <w:bCs/>
        </w:rPr>
        <w:t xml:space="preserve">6. Conclusion</w:t>
      </w:r>
    </w:p>
    <w:p>
      <w:pPr>
        <w:pStyle w:val="FirstParagraph"/>
      </w:pPr>
      <w:r>
        <w:t xml:space="preserve">This addendum enables</w:t>
      </w:r>
      <w:r>
        <w:t xml:space="preserve"> </w:t>
      </w:r>
      <w:r>
        <w:rPr>
          <w:b/>
          <w:bCs/>
        </w:rPr>
        <w:t xml:space="preserve">witness-readable content within the Abracadabracadoo Protocol without sacrificing participant control over verifiability</w:t>
      </w:r>
      <w:r>
        <w:t xml:space="preserve">. It creates a trust structure that supports mediated and legal scenarios, while maintaining the system’s commitment to sovereignty, privacy, and composable consent.</w:t>
      </w:r>
    </w:p>
    <w:p>
      <w:pPr>
        <w:pStyle w:val="BodyText"/>
      </w:pPr>
      <w:r>
        <w:rPr>
          <w:b/>
          <w:bCs/>
        </w:rPr>
        <w:t xml:space="preserve">The witness may see. The witness may attest. But the truth remains in the hands of those who spoke it.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2025-07-08T16:01:58Z</dcterms:created>
  <dcterms:modified xsi:type="dcterms:W3CDTF">2025-07-08T16:01:58Z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